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0E25737"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17AB0">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574B54">
        <w:rPr>
          <w:rFonts w:ascii="Arial" w:hAnsi="Arial" w:cs="Arial"/>
          <w:b/>
          <w:bCs/>
        </w:rPr>
        <w:tab/>
      </w:r>
      <w:r w:rsidR="005C7E54" w:rsidRPr="009A2353">
        <w:rPr>
          <w:rFonts w:ascii="Arial" w:hAnsi="Arial" w:cs="Arial"/>
          <w:b/>
          <w:bCs/>
        </w:rPr>
        <w:t>R4-2</w:t>
      </w:r>
      <w:bookmarkEnd w:id="0"/>
      <w:r w:rsidR="0059276B">
        <w:rPr>
          <w:rFonts w:ascii="Arial" w:hAnsi="Arial" w:cs="Arial"/>
          <w:b/>
          <w:bCs/>
        </w:rPr>
        <w:t>2</w:t>
      </w:r>
      <w:r w:rsidR="00D36D93">
        <w:rPr>
          <w:rFonts w:ascii="Arial" w:hAnsi="Arial" w:cs="Arial"/>
          <w:b/>
          <w:bCs/>
        </w:rPr>
        <w:t>18659</w:t>
      </w:r>
    </w:p>
    <w:p w14:paraId="59393CAD" w14:textId="4E4165BD" w:rsidR="00967981" w:rsidRPr="006F2997" w:rsidRDefault="004961BF" w:rsidP="00967981">
      <w:pPr>
        <w:tabs>
          <w:tab w:val="left" w:pos="3106"/>
          <w:tab w:val="center" w:pos="4536"/>
          <w:tab w:val="right" w:pos="9072"/>
        </w:tabs>
        <w:jc w:val="both"/>
        <w:rPr>
          <w:rFonts w:ascii="Arial" w:hAnsi="Arial" w:cs="Arial"/>
          <w:b/>
          <w:bCs/>
        </w:rPr>
      </w:pPr>
      <w:r w:rsidRPr="004961BF">
        <w:rPr>
          <w:rFonts w:ascii="Arial" w:hAnsi="Arial" w:cs="Arial"/>
          <w:b/>
          <w:bCs/>
        </w:rPr>
        <w:t>Toulouse, France,</w:t>
      </w:r>
      <w:r w:rsidR="00840223" w:rsidRPr="006F2997">
        <w:rPr>
          <w:rFonts w:ascii="Arial" w:hAnsi="Arial" w:cs="Arial"/>
          <w:b/>
          <w:bCs/>
        </w:rPr>
        <w:t xml:space="preserve"> </w:t>
      </w:r>
      <w:r w:rsidR="00717AB0">
        <w:rPr>
          <w:rFonts w:ascii="Arial" w:eastAsia="宋体" w:hAnsi="Arial" w:cs="Arial"/>
          <w:b/>
          <w:szCs w:val="36"/>
        </w:rPr>
        <w:t>Nov</w:t>
      </w:r>
      <w:r w:rsidR="0078045A">
        <w:rPr>
          <w:rFonts w:ascii="Arial" w:eastAsia="宋体" w:hAnsi="Arial" w:cs="Arial"/>
          <w:b/>
          <w:szCs w:val="36"/>
        </w:rPr>
        <w:t xml:space="preserve"> 1</w:t>
      </w:r>
      <w:r w:rsidR="006D3F69">
        <w:rPr>
          <w:rFonts w:ascii="Arial" w:eastAsia="宋体" w:hAnsi="Arial" w:cs="Arial"/>
          <w:b/>
          <w:szCs w:val="36"/>
        </w:rPr>
        <w:t>4</w:t>
      </w:r>
      <w:r w:rsidR="00FD77AF">
        <w:rPr>
          <w:rFonts w:ascii="Arial" w:eastAsia="宋体" w:hAnsi="Arial" w:cs="Arial"/>
          <w:b/>
          <w:szCs w:val="36"/>
        </w:rPr>
        <w:t xml:space="preserve"> -</w:t>
      </w:r>
      <w:r w:rsidR="0078045A">
        <w:rPr>
          <w:rFonts w:ascii="Arial" w:eastAsia="宋体" w:hAnsi="Arial" w:cs="Arial"/>
          <w:b/>
          <w:szCs w:val="36"/>
        </w:rPr>
        <w:t xml:space="preserve"> </w:t>
      </w:r>
      <w:r w:rsidR="006D3F69">
        <w:rPr>
          <w:rFonts w:ascii="Arial" w:eastAsia="宋体" w:hAnsi="Arial" w:cs="Arial"/>
          <w:b/>
          <w:szCs w:val="36"/>
        </w:rPr>
        <w:t>Nov</w:t>
      </w:r>
      <w:r w:rsidR="004733FC" w:rsidRPr="00B57BD1">
        <w:rPr>
          <w:rFonts w:ascii="Arial" w:eastAsia="宋体" w:hAnsi="Arial" w:cs="Arial"/>
          <w:b/>
          <w:szCs w:val="36"/>
        </w:rPr>
        <w:t xml:space="preserve"> </w:t>
      </w:r>
      <w:r w:rsidR="006D3F69">
        <w:rPr>
          <w:rFonts w:ascii="Arial" w:eastAsia="宋体" w:hAnsi="Arial" w:cs="Arial"/>
          <w:b/>
          <w:szCs w:val="36"/>
        </w:rPr>
        <w:t>18</w:t>
      </w:r>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57B3EFB8"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12808" w:rsidRPr="00884262">
        <w:rPr>
          <w:sz w:val="22"/>
        </w:rPr>
        <w:t>6.</w:t>
      </w:r>
      <w:r w:rsidR="00884262" w:rsidRPr="00884262">
        <w:rPr>
          <w:rFonts w:hint="eastAsia"/>
          <w:sz w:val="22"/>
        </w:rPr>
        <w:t>2.4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72B529CA"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 </w:t>
      </w:r>
      <w:r w:rsidR="00AA0F3F">
        <w:rPr>
          <w:rFonts w:hint="eastAsia"/>
          <w:sz w:val="22"/>
        </w:rPr>
        <w:t>core</w:t>
      </w:r>
      <w:r w:rsidR="00AA0F3F">
        <w:rPr>
          <w:sz w:val="22"/>
        </w:rPr>
        <w:t xml:space="preserve"> </w:t>
      </w:r>
      <w:r w:rsidR="00586F7A">
        <w:rPr>
          <w:sz w:val="22"/>
        </w:rPr>
        <w:t xml:space="preserve">requirements for </w:t>
      </w:r>
      <w:bookmarkEnd w:id="2"/>
      <w:r w:rsidR="00574B54">
        <w:rPr>
          <w:sz w:val="22"/>
        </w:rPr>
        <w:t>NTN</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20372919"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RAN4#104</w:t>
      </w:r>
      <w:r w:rsidR="006D3F69">
        <w:rPr>
          <w:sz w:val="20"/>
          <w:szCs w:val="20"/>
        </w:rPr>
        <w:t>-bis</w:t>
      </w:r>
      <w:r w:rsidR="00C21779">
        <w:rPr>
          <w:sz w:val="20"/>
          <w:szCs w:val="20"/>
        </w:rPr>
        <w:t>-e meeting,</w:t>
      </w:r>
      <w:r w:rsidR="006D3F69">
        <w:rPr>
          <w:sz w:val="20"/>
          <w:szCs w:val="20"/>
        </w:rPr>
        <w:t xml:space="preserve"> </w:t>
      </w:r>
      <w:r w:rsidR="00574B54">
        <w:rPr>
          <w:sz w:val="20"/>
          <w:szCs w:val="20"/>
        </w:rPr>
        <w:t>the remaining issues for NTN core requirements were discussed. 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w:t>
      </w:r>
      <w:r w:rsidR="00574B54">
        <w:rPr>
          <w:sz w:val="20"/>
          <w:szCs w:val="20"/>
        </w:rPr>
        <w:t xml:space="preserve">provide our views on additional delay issue </w:t>
      </w:r>
      <w:r w:rsidR="005C4B67">
        <w:rPr>
          <w:sz w:val="20"/>
          <w:szCs w:val="20"/>
        </w:rPr>
        <w:t>of</w:t>
      </w:r>
      <w:r w:rsidR="00574B54">
        <w:rPr>
          <w:sz w:val="20"/>
          <w:szCs w:val="20"/>
        </w:rPr>
        <w:t xml:space="preserve"> HO and CHO requirement.</w:t>
      </w:r>
    </w:p>
    <w:p w14:paraId="360E8369" w14:textId="6A78706D" w:rsidR="00932153" w:rsidRDefault="00574B54"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Background</w:t>
      </w:r>
    </w:p>
    <w:p w14:paraId="5341D4B0" w14:textId="19E7E44A" w:rsidR="00C90F00" w:rsidRDefault="00C90F00" w:rsidP="00C926D9">
      <w:pPr>
        <w:tabs>
          <w:tab w:val="left" w:pos="1134"/>
        </w:tabs>
        <w:spacing w:before="60" w:line="240" w:lineRule="exact"/>
        <w:rPr>
          <w:sz w:val="20"/>
          <w:szCs w:val="20"/>
        </w:rPr>
      </w:pPr>
      <w:bookmarkStart w:id="7" w:name="_Hlk70326378"/>
      <w:r>
        <w:rPr>
          <w:sz w:val="20"/>
          <w:szCs w:val="20"/>
        </w:rPr>
        <w:t>For the HO and CHO additional delay issue, RAN4 have following discussion</w:t>
      </w:r>
      <w:r w:rsidR="00881EB9">
        <w:rPr>
          <w:sz w:val="20"/>
          <w:szCs w:val="20"/>
        </w:rPr>
        <w:t>s</w:t>
      </w:r>
      <w:r>
        <w:rPr>
          <w:sz w:val="20"/>
          <w:szCs w:val="20"/>
        </w:rPr>
        <w:t xml:space="preserve"> and agreement</w:t>
      </w:r>
      <w:r w:rsidR="00881EB9">
        <w:rPr>
          <w:sz w:val="20"/>
          <w:szCs w:val="20"/>
        </w:rPr>
        <w:t>s</w:t>
      </w:r>
      <w:r>
        <w:rPr>
          <w:sz w:val="20"/>
          <w:szCs w:val="20"/>
        </w:rPr>
        <w:t xml:space="preserve"> in the last meeting. </w:t>
      </w:r>
    </w:p>
    <w:tbl>
      <w:tblPr>
        <w:tblStyle w:val="a8"/>
        <w:tblW w:w="0" w:type="auto"/>
        <w:tblLook w:val="04A0" w:firstRow="1" w:lastRow="0" w:firstColumn="1" w:lastColumn="0" w:noHBand="0" w:noVBand="1"/>
      </w:tblPr>
      <w:tblGrid>
        <w:gridCol w:w="9105"/>
      </w:tblGrid>
      <w:tr w:rsidR="00C926D9" w14:paraId="2C005BA0" w14:textId="77777777" w:rsidTr="00C926D9">
        <w:tc>
          <w:tcPr>
            <w:tcW w:w="9105" w:type="dxa"/>
          </w:tcPr>
          <w:p w14:paraId="072032E0" w14:textId="77777777" w:rsidR="00C926D9" w:rsidRPr="00C926D9" w:rsidRDefault="00C926D9" w:rsidP="00C926D9">
            <w:pPr>
              <w:spacing w:before="60"/>
              <w:rPr>
                <w:b/>
                <w:i/>
                <w:iCs/>
                <w:sz w:val="20"/>
                <w:szCs w:val="20"/>
                <w:u w:val="single"/>
              </w:rPr>
            </w:pPr>
            <w:r w:rsidRPr="00C926D9">
              <w:rPr>
                <w:b/>
                <w:i/>
                <w:iCs/>
                <w:sz w:val="20"/>
                <w:szCs w:val="20"/>
                <w:u w:val="single"/>
              </w:rPr>
              <w:t>Issue 7: Configuration of HO aspects for HO TC</w:t>
            </w:r>
          </w:p>
          <w:p w14:paraId="794C6242" w14:textId="77777777" w:rsidR="00C926D9" w:rsidRPr="00C926D9" w:rsidRDefault="00C926D9" w:rsidP="00C926D9">
            <w:pPr>
              <w:spacing w:before="60"/>
              <w:rPr>
                <w:b/>
                <w:i/>
                <w:iCs/>
                <w:sz w:val="20"/>
                <w:szCs w:val="20"/>
                <w:u w:val="single"/>
              </w:rPr>
            </w:pPr>
            <w:r w:rsidRPr="00C926D9">
              <w:rPr>
                <w:b/>
                <w:i/>
                <w:iCs/>
                <w:sz w:val="20"/>
                <w:szCs w:val="20"/>
                <w:u w:val="single"/>
              </w:rPr>
              <w:t>Agreement</w:t>
            </w:r>
          </w:p>
          <w:p w14:paraId="02628899" w14:textId="77777777" w:rsidR="00C926D9" w:rsidRPr="00C926D9" w:rsidRDefault="00C926D9" w:rsidP="00C926D9">
            <w:pPr>
              <w:numPr>
                <w:ilvl w:val="0"/>
                <w:numId w:val="25"/>
              </w:numPr>
              <w:spacing w:before="60"/>
              <w:rPr>
                <w:i/>
                <w:iCs/>
                <w:sz w:val="20"/>
                <w:szCs w:val="20"/>
              </w:rPr>
            </w:pPr>
            <w:r w:rsidRPr="00C926D9">
              <w:rPr>
                <w:i/>
                <w:iCs/>
                <w:sz w:val="20"/>
                <w:szCs w:val="20"/>
              </w:rPr>
              <w:t>Further discuss and conclude on the following in RAN4#105:</w:t>
            </w:r>
          </w:p>
          <w:p w14:paraId="191F0A8F" w14:textId="77777777" w:rsidR="00C926D9" w:rsidRPr="00C926D9" w:rsidRDefault="00C926D9" w:rsidP="00C926D9">
            <w:pPr>
              <w:numPr>
                <w:ilvl w:val="1"/>
                <w:numId w:val="25"/>
              </w:numPr>
              <w:spacing w:before="60"/>
              <w:rPr>
                <w:i/>
                <w:iCs/>
                <w:sz w:val="20"/>
                <w:szCs w:val="20"/>
              </w:rPr>
            </w:pPr>
            <w:r w:rsidRPr="00C926D9">
              <w:rPr>
                <w:i/>
                <w:iCs/>
                <w:sz w:val="20"/>
                <w:szCs w:val="20"/>
              </w:rPr>
              <w:t>RAN4 to decide the best way to deal with the additional delay introduced in the CHO procedure for NTN caused by the cases where the UE has to wait for the epoch time to be reached or re-acquire a new ephemeris information.</w:t>
            </w:r>
          </w:p>
          <w:p w14:paraId="56E4D389" w14:textId="77777777" w:rsidR="00C926D9" w:rsidRPr="00C926D9" w:rsidRDefault="00C926D9" w:rsidP="00C926D9">
            <w:pPr>
              <w:numPr>
                <w:ilvl w:val="1"/>
                <w:numId w:val="25"/>
              </w:numPr>
              <w:spacing w:before="60"/>
              <w:rPr>
                <w:i/>
                <w:iCs/>
                <w:sz w:val="20"/>
                <w:szCs w:val="20"/>
              </w:rPr>
            </w:pPr>
            <w:r w:rsidRPr="00C926D9">
              <w:rPr>
                <w:i/>
                <w:iCs/>
                <w:sz w:val="20"/>
                <w:szCs w:val="20"/>
              </w:rPr>
              <w:t>If the UE needs to re-acquire ephemeris information, the handover delay requirements and the time interruption requirements must be extended to account for that.</w:t>
            </w:r>
          </w:p>
          <w:p w14:paraId="23941978" w14:textId="77777777" w:rsidR="00C926D9" w:rsidRPr="00C926D9" w:rsidRDefault="00C926D9" w:rsidP="00C926D9">
            <w:pPr>
              <w:spacing w:before="60"/>
              <w:rPr>
                <w:b/>
                <w:i/>
                <w:iCs/>
                <w:sz w:val="20"/>
                <w:szCs w:val="20"/>
                <w:u w:val="single"/>
              </w:rPr>
            </w:pPr>
            <w:r w:rsidRPr="00C926D9">
              <w:rPr>
                <w:b/>
                <w:i/>
                <w:iCs/>
                <w:sz w:val="20"/>
                <w:szCs w:val="20"/>
                <w:u w:val="single"/>
              </w:rPr>
              <w:t>Issue 8: Configuration of CHO aspects for CHO TC</w:t>
            </w:r>
          </w:p>
          <w:p w14:paraId="03A1DD40" w14:textId="77777777" w:rsidR="00C926D9" w:rsidRPr="00C926D9" w:rsidRDefault="00C926D9" w:rsidP="00C926D9">
            <w:pPr>
              <w:spacing w:before="60"/>
              <w:rPr>
                <w:b/>
                <w:i/>
                <w:iCs/>
                <w:sz w:val="20"/>
                <w:szCs w:val="20"/>
                <w:u w:val="single"/>
              </w:rPr>
            </w:pPr>
            <w:r w:rsidRPr="00C926D9">
              <w:rPr>
                <w:b/>
                <w:i/>
                <w:iCs/>
                <w:sz w:val="20"/>
                <w:szCs w:val="20"/>
                <w:u w:val="single"/>
              </w:rPr>
              <w:t>Agreement</w:t>
            </w:r>
          </w:p>
          <w:p w14:paraId="73B18CC1" w14:textId="77777777" w:rsidR="00C926D9" w:rsidRPr="00C926D9" w:rsidRDefault="00C926D9" w:rsidP="00C926D9">
            <w:pPr>
              <w:numPr>
                <w:ilvl w:val="0"/>
                <w:numId w:val="25"/>
              </w:numPr>
              <w:spacing w:before="60"/>
              <w:rPr>
                <w:i/>
                <w:iCs/>
                <w:sz w:val="20"/>
                <w:szCs w:val="20"/>
              </w:rPr>
            </w:pPr>
            <w:r w:rsidRPr="00C926D9">
              <w:rPr>
                <w:i/>
                <w:iCs/>
                <w:sz w:val="20"/>
                <w:szCs w:val="20"/>
              </w:rPr>
              <w:t>Further discuss and conclude on the following in RAN4#105:</w:t>
            </w:r>
          </w:p>
          <w:p w14:paraId="7D71C444" w14:textId="77777777" w:rsidR="00C926D9" w:rsidRPr="00C926D9" w:rsidRDefault="00C926D9" w:rsidP="00C926D9">
            <w:pPr>
              <w:numPr>
                <w:ilvl w:val="1"/>
                <w:numId w:val="25"/>
              </w:numPr>
              <w:spacing w:before="60"/>
              <w:rPr>
                <w:i/>
                <w:iCs/>
                <w:sz w:val="20"/>
                <w:szCs w:val="20"/>
              </w:rPr>
            </w:pPr>
            <w:r w:rsidRPr="00C926D9">
              <w:rPr>
                <w:i/>
                <w:iCs/>
                <w:sz w:val="20"/>
                <w:szCs w:val="20"/>
              </w:rPr>
              <w:t>RAN4 to decide the best way to deal with the additional delay introduced in the CHO procedure for NTN caused by the cases where the UE has to wait for the epoch time to be reached or re-acquire a new ephemeris information.</w:t>
            </w:r>
          </w:p>
          <w:p w14:paraId="30E7143E" w14:textId="0F6C0009" w:rsidR="00C926D9" w:rsidRPr="00C926D9" w:rsidRDefault="00C926D9" w:rsidP="00C90F00">
            <w:pPr>
              <w:numPr>
                <w:ilvl w:val="1"/>
                <w:numId w:val="25"/>
              </w:numPr>
              <w:spacing w:before="60"/>
              <w:rPr>
                <w:i/>
                <w:iCs/>
                <w:sz w:val="20"/>
                <w:szCs w:val="20"/>
              </w:rPr>
            </w:pPr>
            <w:r w:rsidRPr="00C926D9">
              <w:rPr>
                <w:i/>
                <w:iCs/>
                <w:sz w:val="20"/>
                <w:szCs w:val="20"/>
              </w:rPr>
              <w:t>If the UE needs to re-acquire ephemeris information, the handover delay requirements and the time interruption requirements must be extended to account for that.</w:t>
            </w:r>
          </w:p>
        </w:tc>
      </w:tr>
    </w:tbl>
    <w:p w14:paraId="6025CCA1" w14:textId="4C919825" w:rsidR="00C90F00" w:rsidRDefault="00C90F00" w:rsidP="00C926D9">
      <w:pPr>
        <w:tabs>
          <w:tab w:val="left" w:pos="1134"/>
        </w:tabs>
        <w:spacing w:before="60" w:line="240" w:lineRule="exact"/>
        <w:rPr>
          <w:sz w:val="20"/>
          <w:szCs w:val="20"/>
        </w:rPr>
      </w:pPr>
      <w:r>
        <w:rPr>
          <w:rFonts w:hint="eastAsia"/>
          <w:sz w:val="20"/>
          <w:szCs w:val="20"/>
        </w:rPr>
        <w:t>A</w:t>
      </w:r>
      <w:r>
        <w:rPr>
          <w:sz w:val="20"/>
          <w:szCs w:val="20"/>
        </w:rPr>
        <w:t xml:space="preserve">t the same time, RAN2 discussed the </w:t>
      </w:r>
      <w:r w:rsidR="00881EB9" w:rsidRPr="00881EB9">
        <w:rPr>
          <w:sz w:val="20"/>
          <w:szCs w:val="20"/>
        </w:rPr>
        <w:t>epoch time and validity timer</w:t>
      </w:r>
      <w:r w:rsidR="00881EB9">
        <w:rPr>
          <w:sz w:val="20"/>
          <w:szCs w:val="20"/>
        </w:rPr>
        <w:t xml:space="preserve"> issue in RAN2</w:t>
      </w:r>
      <w:r w:rsidR="00881EB9" w:rsidRPr="00881EB9">
        <w:rPr>
          <w:sz w:val="20"/>
          <w:szCs w:val="20"/>
        </w:rPr>
        <w:t>#119bis-e</w:t>
      </w:r>
      <w:r w:rsidR="00881EB9">
        <w:rPr>
          <w:sz w:val="20"/>
          <w:szCs w:val="20"/>
        </w:rPr>
        <w:t>, following agreements had been achieved</w:t>
      </w:r>
      <w:r w:rsidR="00EC721B">
        <w:rPr>
          <w:sz w:val="20"/>
          <w:szCs w:val="20"/>
        </w:rPr>
        <w:t xml:space="preserve"> [2], [3]</w:t>
      </w:r>
      <w:r w:rsidR="00881EB9">
        <w:rPr>
          <w:sz w:val="20"/>
          <w:szCs w:val="20"/>
        </w:rPr>
        <w:t>:</w:t>
      </w:r>
    </w:p>
    <w:tbl>
      <w:tblPr>
        <w:tblStyle w:val="a8"/>
        <w:tblW w:w="0" w:type="auto"/>
        <w:tblLook w:val="04A0" w:firstRow="1" w:lastRow="0" w:firstColumn="1" w:lastColumn="0" w:noHBand="0" w:noVBand="1"/>
      </w:tblPr>
      <w:tblGrid>
        <w:gridCol w:w="9105"/>
      </w:tblGrid>
      <w:tr w:rsidR="00765424" w14:paraId="2E1BB0E2" w14:textId="77777777" w:rsidTr="00765424">
        <w:tc>
          <w:tcPr>
            <w:tcW w:w="9105" w:type="dxa"/>
          </w:tcPr>
          <w:p w14:paraId="6526FAA5" w14:textId="77777777" w:rsidR="00765424" w:rsidRPr="00937145" w:rsidRDefault="00765424" w:rsidP="00765424">
            <w:pPr>
              <w:spacing w:after="180"/>
              <w:rPr>
                <w:bCs/>
                <w:i/>
                <w:iCs/>
                <w:sz w:val="20"/>
                <w:szCs w:val="20"/>
              </w:rPr>
            </w:pPr>
            <w:bookmarkStart w:id="8" w:name="_Hlk117764863"/>
            <w:r w:rsidRPr="00937145">
              <w:rPr>
                <w:bCs/>
                <w:i/>
                <w:iCs/>
                <w:sz w:val="20"/>
                <w:szCs w:val="20"/>
              </w:rPr>
              <w:t>Agreements via email</w:t>
            </w:r>
            <w:bookmarkEnd w:id="8"/>
            <w:r w:rsidRPr="00937145">
              <w:rPr>
                <w:bCs/>
                <w:i/>
                <w:iCs/>
                <w:sz w:val="20"/>
                <w:szCs w:val="20"/>
              </w:rPr>
              <w:t xml:space="preserve"> (from offline 113):</w:t>
            </w:r>
          </w:p>
          <w:p w14:paraId="01AD4CA1" w14:textId="77777777" w:rsidR="00765424" w:rsidRPr="00937145" w:rsidRDefault="00765424" w:rsidP="00765424">
            <w:pPr>
              <w:spacing w:after="180"/>
              <w:rPr>
                <w:bCs/>
                <w:i/>
                <w:iCs/>
                <w:sz w:val="20"/>
                <w:szCs w:val="20"/>
              </w:rPr>
            </w:pPr>
            <w:r w:rsidRPr="00937145">
              <w:rPr>
                <w:bCs/>
                <w:i/>
                <w:iCs/>
                <w:sz w:val="20"/>
                <w:szCs w:val="20"/>
              </w:rPr>
              <w:t>5.</w:t>
            </w:r>
            <w:r w:rsidRPr="00937145">
              <w:rPr>
                <w:bCs/>
                <w:i/>
                <w:iCs/>
                <w:sz w:val="20"/>
                <w:szCs w:val="20"/>
              </w:rPr>
              <w:tab/>
              <w:t>In case of HO, the UE considers the target cell epoch time (i.e., indicated explicitly by a SFN and subframe number) to be the frame nearest to the target cell’s frame where the message indicating the Epoch time is received. (to be captured in epochTime field description)</w:t>
            </w:r>
          </w:p>
          <w:p w14:paraId="70616C11" w14:textId="77777777" w:rsidR="00765424" w:rsidRPr="00937145" w:rsidRDefault="00765424" w:rsidP="00765424">
            <w:pPr>
              <w:spacing w:after="180"/>
              <w:rPr>
                <w:bCs/>
                <w:i/>
                <w:iCs/>
                <w:sz w:val="20"/>
                <w:szCs w:val="20"/>
              </w:rPr>
            </w:pPr>
            <w:r w:rsidRPr="00937145">
              <w:rPr>
                <w:bCs/>
                <w:i/>
                <w:iCs/>
                <w:sz w:val="20"/>
                <w:szCs w:val="20"/>
              </w:rPr>
              <w:t>6.</w:t>
            </w:r>
            <w:r w:rsidRPr="00937145">
              <w:rPr>
                <w:bCs/>
                <w:i/>
                <w:iCs/>
                <w:sz w:val="20"/>
                <w:szCs w:val="20"/>
              </w:rPr>
              <w:tab/>
              <w:t>In case of CHO, the UE considers the target cell epoch time (i.e., indicated explicitly by a SFN and subframe number) to be the frame nearest to the target cell’s frame where the message indicating the Epoch time is received. (to be captured in epochTime field description)</w:t>
            </w:r>
          </w:p>
          <w:p w14:paraId="647BAF21" w14:textId="77777777" w:rsidR="00765424" w:rsidRPr="00937145" w:rsidRDefault="00765424" w:rsidP="00765424">
            <w:pPr>
              <w:spacing w:after="180"/>
              <w:rPr>
                <w:bCs/>
                <w:i/>
                <w:iCs/>
                <w:sz w:val="20"/>
                <w:szCs w:val="20"/>
              </w:rPr>
            </w:pPr>
            <w:r w:rsidRPr="00937145">
              <w:rPr>
                <w:bCs/>
                <w:i/>
                <w:iCs/>
                <w:sz w:val="20"/>
                <w:szCs w:val="20"/>
              </w:rPr>
              <w:t>7.</w:t>
            </w:r>
            <w:r w:rsidRPr="00937145">
              <w:rPr>
                <w:bCs/>
                <w:i/>
                <w:iCs/>
                <w:sz w:val="20"/>
                <w:szCs w:val="20"/>
              </w:rPr>
              <w:tab/>
              <w:t>NW provides target cell validity duration in dedicated configuration by NW implementation (no spec impact)</w:t>
            </w:r>
          </w:p>
          <w:p w14:paraId="04AF5E8C" w14:textId="77777777" w:rsidR="00765424" w:rsidRDefault="00765424" w:rsidP="00765424">
            <w:pPr>
              <w:spacing w:after="180"/>
              <w:rPr>
                <w:bCs/>
                <w:i/>
                <w:iCs/>
                <w:sz w:val="20"/>
                <w:szCs w:val="20"/>
              </w:rPr>
            </w:pPr>
            <w:r w:rsidRPr="00937145">
              <w:rPr>
                <w:bCs/>
                <w:i/>
                <w:iCs/>
                <w:sz w:val="20"/>
                <w:szCs w:val="20"/>
              </w:rPr>
              <w:t>9.</w:t>
            </w:r>
            <w:r w:rsidRPr="00937145">
              <w:rPr>
                <w:bCs/>
                <w:i/>
                <w:iCs/>
                <w:sz w:val="20"/>
                <w:szCs w:val="20"/>
              </w:rPr>
              <w:tab/>
              <w:t>RAN2 to update the start and stop conditions in the timer table for T430 (FFS exact wording)</w:t>
            </w:r>
          </w:p>
          <w:p w14:paraId="6532D84E" w14:textId="77777777" w:rsidR="00380B4D" w:rsidRPr="00380B4D" w:rsidRDefault="00380B4D" w:rsidP="00380B4D">
            <w:pPr>
              <w:spacing w:after="180"/>
              <w:rPr>
                <w:bCs/>
                <w:i/>
                <w:iCs/>
                <w:sz w:val="20"/>
                <w:szCs w:val="20"/>
              </w:rPr>
            </w:pPr>
            <w:r w:rsidRPr="00380B4D">
              <w:rPr>
                <w:bCs/>
                <w:i/>
                <w:iCs/>
                <w:sz w:val="20"/>
                <w:szCs w:val="20"/>
              </w:rPr>
              <w:t>Agreements online:</w:t>
            </w:r>
          </w:p>
          <w:p w14:paraId="6D9CA966" w14:textId="6AA115F4" w:rsidR="00380B4D" w:rsidRPr="00380B4D" w:rsidRDefault="00380B4D" w:rsidP="00380B4D">
            <w:pPr>
              <w:spacing w:after="180"/>
              <w:rPr>
                <w:bCs/>
                <w:sz w:val="20"/>
                <w:szCs w:val="20"/>
              </w:rPr>
            </w:pPr>
            <w:r w:rsidRPr="00380B4D">
              <w:rPr>
                <w:bCs/>
                <w:i/>
                <w:iCs/>
                <w:sz w:val="20"/>
                <w:szCs w:val="20"/>
              </w:rPr>
              <w:lastRenderedPageBreak/>
              <w:t>1.</w:t>
            </w:r>
            <w:r w:rsidRPr="00380B4D">
              <w:rPr>
                <w:bCs/>
                <w:i/>
                <w:iCs/>
                <w:sz w:val="20"/>
                <w:szCs w:val="20"/>
              </w:rPr>
              <w:tab/>
              <w:t>Whether the UE uses the target cell NTN-config in NTN-NeighCellConfig-r17 IE from source cell SIB19 for HO or CHO is up to UE implementation (FFS on spec impact)</w:t>
            </w:r>
          </w:p>
        </w:tc>
      </w:tr>
    </w:tbl>
    <w:p w14:paraId="1A13F419" w14:textId="1CEAA673" w:rsidR="00881EB9" w:rsidRDefault="00765424" w:rsidP="00574B54">
      <w:pPr>
        <w:spacing w:before="60"/>
        <w:rPr>
          <w:sz w:val="20"/>
          <w:szCs w:val="20"/>
        </w:rPr>
      </w:pPr>
      <w:r>
        <w:rPr>
          <w:rFonts w:hint="eastAsia"/>
          <w:sz w:val="20"/>
          <w:szCs w:val="20"/>
        </w:rPr>
        <w:lastRenderedPageBreak/>
        <w:t>F</w:t>
      </w:r>
      <w:r>
        <w:rPr>
          <w:sz w:val="20"/>
          <w:szCs w:val="20"/>
        </w:rPr>
        <w:t xml:space="preserve">or </w:t>
      </w:r>
      <w:r w:rsidR="00F2197C">
        <w:rPr>
          <w:sz w:val="20"/>
          <w:szCs w:val="20"/>
        </w:rPr>
        <w:t>A</w:t>
      </w:r>
      <w:r>
        <w:rPr>
          <w:sz w:val="20"/>
          <w:szCs w:val="20"/>
        </w:rPr>
        <w:t xml:space="preserve">greement 9, </w:t>
      </w:r>
      <w:r w:rsidR="00F2197C">
        <w:rPr>
          <w:sz w:val="20"/>
          <w:szCs w:val="20"/>
        </w:rPr>
        <w:t>during the discussion, a proposed TP is as follows:</w:t>
      </w:r>
    </w:p>
    <w:tbl>
      <w:tblPr>
        <w:tblW w:w="54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4678"/>
      </w:tblGrid>
      <w:tr w:rsidR="00F2197C" w:rsidRPr="00F2197C" w14:paraId="52C00AD7" w14:textId="77777777" w:rsidTr="00F2197C">
        <w:trPr>
          <w:cantSplit/>
        </w:trPr>
        <w:tc>
          <w:tcPr>
            <w:tcW w:w="733" w:type="dxa"/>
            <w:tcBorders>
              <w:top w:val="single" w:sz="4" w:space="0" w:color="auto"/>
              <w:left w:val="single" w:sz="4" w:space="0" w:color="auto"/>
              <w:bottom w:val="single" w:sz="4" w:space="0" w:color="auto"/>
              <w:right w:val="single" w:sz="4" w:space="0" w:color="auto"/>
            </w:tcBorders>
          </w:tcPr>
          <w:p w14:paraId="519243B0" w14:textId="77777777" w:rsidR="00F2197C" w:rsidRPr="00F2197C" w:rsidRDefault="00F2197C" w:rsidP="00F2197C">
            <w:pPr>
              <w:keepNext/>
              <w:keepLines/>
              <w:overflowPunct w:val="0"/>
              <w:autoSpaceDE w:val="0"/>
              <w:autoSpaceDN w:val="0"/>
              <w:adjustRightInd w:val="0"/>
              <w:textAlignment w:val="baseline"/>
              <w:rPr>
                <w:rFonts w:ascii="Arial" w:eastAsia="宋体" w:hAnsi="Arial"/>
                <w:i/>
                <w:iCs/>
                <w:sz w:val="18"/>
                <w:szCs w:val="20"/>
                <w:lang w:val="en-GB" w:eastAsia="en-GB"/>
              </w:rPr>
            </w:pPr>
            <w:r w:rsidRPr="00F2197C">
              <w:rPr>
                <w:rFonts w:ascii="Arial" w:eastAsia="宋体" w:hAnsi="Arial"/>
                <w:i/>
                <w:iCs/>
                <w:sz w:val="18"/>
                <w:szCs w:val="20"/>
                <w:lang w:val="en-GB" w:eastAsia="en-GB"/>
              </w:rPr>
              <w:t>T430</w:t>
            </w:r>
          </w:p>
        </w:tc>
        <w:tc>
          <w:tcPr>
            <w:tcW w:w="4678" w:type="dxa"/>
            <w:tcBorders>
              <w:top w:val="single" w:sz="4" w:space="0" w:color="auto"/>
              <w:left w:val="single" w:sz="4" w:space="0" w:color="auto"/>
              <w:bottom w:val="single" w:sz="4" w:space="0" w:color="auto"/>
              <w:right w:val="single" w:sz="4" w:space="0" w:color="auto"/>
            </w:tcBorders>
          </w:tcPr>
          <w:p w14:paraId="733BA89A" w14:textId="77777777" w:rsidR="00F2197C" w:rsidRPr="00F2197C" w:rsidRDefault="00F2197C" w:rsidP="00F2197C">
            <w:pPr>
              <w:keepNext/>
              <w:keepLines/>
              <w:overflowPunct w:val="0"/>
              <w:autoSpaceDE w:val="0"/>
              <w:autoSpaceDN w:val="0"/>
              <w:adjustRightInd w:val="0"/>
              <w:textAlignment w:val="baseline"/>
              <w:rPr>
                <w:rFonts w:ascii="Arial" w:eastAsia="Batang" w:hAnsi="Arial"/>
                <w:i/>
                <w:iCs/>
                <w:sz w:val="18"/>
                <w:szCs w:val="20"/>
                <w:lang w:val="en-GB" w:eastAsia="en-GB"/>
              </w:rPr>
            </w:pPr>
            <w:r w:rsidRPr="00F2197C">
              <w:rPr>
                <w:rFonts w:ascii="Arial" w:eastAsia="Batang" w:hAnsi="Arial"/>
                <w:i/>
                <w:iCs/>
                <w:sz w:val="18"/>
                <w:szCs w:val="20"/>
                <w:lang w:val="en-GB" w:eastAsia="en-GB"/>
              </w:rPr>
              <w:t>Start or restart from the subframe indicated by epochTime upon reception of SIB19</w:t>
            </w:r>
            <w:r w:rsidRPr="00F2197C">
              <w:rPr>
                <w:rFonts w:ascii="Arial" w:eastAsia="Batang" w:hAnsi="Arial"/>
                <w:i/>
                <w:iCs/>
                <w:color w:val="FF0000"/>
                <w:sz w:val="18"/>
                <w:szCs w:val="20"/>
                <w:lang w:val="en-GB" w:eastAsia="en-GB"/>
              </w:rPr>
              <w:t>, or upon reception of RRCReconfiguration message including reconfigurationWithSync, or upon conditional reconfiguration execution i.e. when applying a stored RRCReconfiguration message including reconfigurationWithSync</w:t>
            </w:r>
          </w:p>
        </w:tc>
      </w:tr>
    </w:tbl>
    <w:bookmarkEnd w:id="7"/>
    <w:p w14:paraId="1988F798" w14:textId="72E8B3A6" w:rsidR="00F2197C" w:rsidRDefault="00F2197C" w:rsidP="00F2197C">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Discussion</w:t>
      </w:r>
    </w:p>
    <w:p w14:paraId="1D6DBA3D" w14:textId="7CEBFECD" w:rsidR="00937145" w:rsidRDefault="00F2197C" w:rsidP="00F2197C">
      <w:pPr>
        <w:tabs>
          <w:tab w:val="left" w:pos="1134"/>
        </w:tabs>
        <w:spacing w:before="60" w:line="240" w:lineRule="exact"/>
        <w:rPr>
          <w:sz w:val="20"/>
          <w:szCs w:val="20"/>
        </w:rPr>
      </w:pPr>
      <w:r>
        <w:rPr>
          <w:sz w:val="20"/>
          <w:szCs w:val="20"/>
        </w:rPr>
        <w:t>Based on our understanding</w:t>
      </w:r>
      <w:r w:rsidR="00A92ADF">
        <w:rPr>
          <w:sz w:val="20"/>
          <w:szCs w:val="20"/>
        </w:rPr>
        <w:t>,</w:t>
      </w:r>
      <w:r>
        <w:rPr>
          <w:sz w:val="20"/>
          <w:szCs w:val="20"/>
        </w:rPr>
        <w:t xml:space="preserve"> Issue 7 and Issue </w:t>
      </w:r>
      <w:r w:rsidR="00937145">
        <w:rPr>
          <w:sz w:val="20"/>
          <w:szCs w:val="20"/>
        </w:rPr>
        <w:t>8</w:t>
      </w:r>
      <w:r w:rsidR="00A92ADF">
        <w:rPr>
          <w:sz w:val="20"/>
          <w:szCs w:val="20"/>
        </w:rPr>
        <w:t xml:space="preserve"> were raised</w:t>
      </w:r>
      <w:r w:rsidR="007855D9">
        <w:rPr>
          <w:sz w:val="20"/>
          <w:szCs w:val="20"/>
        </w:rPr>
        <w:t>, because</w:t>
      </w:r>
      <w:r w:rsidR="00A92ADF">
        <w:rPr>
          <w:sz w:val="20"/>
          <w:szCs w:val="20"/>
        </w:rPr>
        <w:t xml:space="preserve"> </w:t>
      </w:r>
      <w:r w:rsidR="007855D9">
        <w:rPr>
          <w:sz w:val="20"/>
          <w:szCs w:val="20"/>
        </w:rPr>
        <w:t xml:space="preserve">some </w:t>
      </w:r>
      <w:r w:rsidR="00A92ADF">
        <w:rPr>
          <w:sz w:val="20"/>
          <w:szCs w:val="20"/>
        </w:rPr>
        <w:t>companies consider that</w:t>
      </w:r>
      <w:r w:rsidR="00937145">
        <w:rPr>
          <w:sz w:val="20"/>
          <w:szCs w:val="20"/>
        </w:rPr>
        <w:t xml:space="preserve"> the additional delay </w:t>
      </w:r>
      <w:r w:rsidR="007855D9">
        <w:rPr>
          <w:sz w:val="20"/>
          <w:szCs w:val="20"/>
        </w:rPr>
        <w:t>need to be involved</w:t>
      </w:r>
      <w:r w:rsidR="00937145">
        <w:rPr>
          <w:sz w:val="20"/>
          <w:szCs w:val="20"/>
        </w:rPr>
        <w:t xml:space="preserve"> in following cases:</w:t>
      </w:r>
    </w:p>
    <w:p w14:paraId="476F719F" w14:textId="0F1985B9" w:rsidR="00937145" w:rsidRPr="007855D9" w:rsidRDefault="00937145" w:rsidP="007855D9">
      <w:pPr>
        <w:pStyle w:val="af9"/>
        <w:numPr>
          <w:ilvl w:val="0"/>
          <w:numId w:val="42"/>
        </w:numPr>
        <w:tabs>
          <w:tab w:val="left" w:pos="1134"/>
        </w:tabs>
        <w:spacing w:before="60" w:line="240" w:lineRule="exact"/>
        <w:ind w:firstLineChars="0"/>
        <w:rPr>
          <w:rStyle w:val="normaltextrun"/>
          <w:sz w:val="20"/>
          <w:szCs w:val="20"/>
        </w:rPr>
      </w:pPr>
      <w:r w:rsidRPr="007855D9">
        <w:rPr>
          <w:rStyle w:val="normaltextrun"/>
          <w:rFonts w:hint="eastAsia"/>
          <w:sz w:val="20"/>
          <w:szCs w:val="20"/>
        </w:rPr>
        <w:t>C</w:t>
      </w:r>
      <w:r w:rsidRPr="007855D9">
        <w:rPr>
          <w:rStyle w:val="normaltextrun"/>
          <w:sz w:val="20"/>
          <w:szCs w:val="20"/>
        </w:rPr>
        <w:t>ase 1: Epoch time is later than RRC Reconfiguration message</w:t>
      </w:r>
    </w:p>
    <w:p w14:paraId="0D7FE347" w14:textId="667398FA" w:rsidR="00937145" w:rsidRPr="007855D9" w:rsidRDefault="00937145" w:rsidP="007855D9">
      <w:pPr>
        <w:pStyle w:val="af9"/>
        <w:numPr>
          <w:ilvl w:val="0"/>
          <w:numId w:val="42"/>
        </w:numPr>
        <w:tabs>
          <w:tab w:val="left" w:pos="1134"/>
        </w:tabs>
        <w:spacing w:before="60" w:line="240" w:lineRule="exact"/>
        <w:ind w:firstLineChars="0"/>
        <w:rPr>
          <w:rStyle w:val="normaltextrun"/>
          <w:sz w:val="20"/>
          <w:szCs w:val="20"/>
        </w:rPr>
      </w:pPr>
      <w:r w:rsidRPr="007855D9">
        <w:rPr>
          <w:rStyle w:val="normaltextrun"/>
          <w:rFonts w:hint="eastAsia"/>
          <w:sz w:val="20"/>
          <w:szCs w:val="20"/>
        </w:rPr>
        <w:t>C</w:t>
      </w:r>
      <w:r w:rsidRPr="007855D9">
        <w:rPr>
          <w:rStyle w:val="normaltextrun"/>
          <w:sz w:val="20"/>
          <w:szCs w:val="20"/>
        </w:rPr>
        <w:t>ase 2:</w:t>
      </w:r>
      <w:r w:rsidRPr="007855D9">
        <w:rPr>
          <w:rStyle w:val="normaltextrun"/>
          <w:rFonts w:hint="eastAsia"/>
          <w:sz w:val="20"/>
          <w:szCs w:val="20"/>
        </w:rPr>
        <w:t xml:space="preserve"> </w:t>
      </w:r>
      <w:r w:rsidRPr="007855D9">
        <w:rPr>
          <w:rStyle w:val="normaltextrun"/>
          <w:sz w:val="20"/>
          <w:szCs w:val="20"/>
        </w:rPr>
        <w:t>Ephemeris information is not valid</w:t>
      </w:r>
    </w:p>
    <w:p w14:paraId="7BC09BFD" w14:textId="0A0653F6" w:rsidR="00937145" w:rsidRDefault="007855D9" w:rsidP="00F2197C">
      <w:pPr>
        <w:tabs>
          <w:tab w:val="left" w:pos="1134"/>
        </w:tabs>
        <w:spacing w:before="60" w:line="240" w:lineRule="exact"/>
        <w:rPr>
          <w:sz w:val="20"/>
          <w:szCs w:val="20"/>
        </w:rPr>
      </w:pPr>
      <w:r>
        <w:rPr>
          <w:sz w:val="20"/>
          <w:szCs w:val="20"/>
        </w:rPr>
        <w:t xml:space="preserve">However, based on the </w:t>
      </w:r>
      <w:r w:rsidRPr="007855D9">
        <w:rPr>
          <w:sz w:val="20"/>
          <w:szCs w:val="20"/>
        </w:rPr>
        <w:t>Agreement</w:t>
      </w:r>
      <w:r>
        <w:rPr>
          <w:sz w:val="20"/>
          <w:szCs w:val="20"/>
        </w:rPr>
        <w:t xml:space="preserve"> 9</w:t>
      </w:r>
      <w:r w:rsidRPr="007855D9">
        <w:rPr>
          <w:sz w:val="20"/>
          <w:szCs w:val="20"/>
        </w:rPr>
        <w:t xml:space="preserve"> </w:t>
      </w:r>
      <w:r>
        <w:rPr>
          <w:rFonts w:hint="eastAsia"/>
          <w:sz w:val="20"/>
          <w:szCs w:val="20"/>
        </w:rPr>
        <w:t>(</w:t>
      </w:r>
      <w:r w:rsidRPr="007855D9">
        <w:rPr>
          <w:sz w:val="20"/>
          <w:szCs w:val="20"/>
        </w:rPr>
        <w:t>via email</w:t>
      </w:r>
      <w:r>
        <w:rPr>
          <w:sz w:val="20"/>
          <w:szCs w:val="20"/>
        </w:rPr>
        <w:t>)</w:t>
      </w:r>
      <w:r w:rsidR="003207FE">
        <w:rPr>
          <w:sz w:val="20"/>
          <w:szCs w:val="20"/>
        </w:rPr>
        <w:t xml:space="preserve"> and related discussion in RAN2, most companies would like to update the start condition of T430, </w:t>
      </w:r>
      <w:r w:rsidR="00380B4D">
        <w:rPr>
          <w:sz w:val="20"/>
          <w:szCs w:val="20"/>
        </w:rPr>
        <w:t xml:space="preserve">e.g. </w:t>
      </w:r>
      <w:r w:rsidR="00380B4D" w:rsidRPr="00F2197C">
        <w:rPr>
          <w:sz w:val="20"/>
          <w:szCs w:val="20"/>
        </w:rPr>
        <w:t>Start or restart</w:t>
      </w:r>
      <w:r w:rsidR="00380B4D" w:rsidRPr="00380B4D">
        <w:rPr>
          <w:sz w:val="20"/>
          <w:szCs w:val="20"/>
        </w:rPr>
        <w:t xml:space="preserve"> the T430 upon reception of </w:t>
      </w:r>
      <w:r w:rsidR="00380B4D" w:rsidRPr="003207FE">
        <w:rPr>
          <w:i/>
          <w:iCs/>
          <w:sz w:val="20"/>
          <w:szCs w:val="20"/>
        </w:rPr>
        <w:t>RRCReconfiguration</w:t>
      </w:r>
      <w:r w:rsidR="00380B4D" w:rsidRPr="00380B4D">
        <w:rPr>
          <w:sz w:val="20"/>
          <w:szCs w:val="20"/>
        </w:rPr>
        <w:t xml:space="preserve"> message including </w:t>
      </w:r>
      <w:r w:rsidR="00380B4D" w:rsidRPr="003207FE">
        <w:rPr>
          <w:i/>
          <w:iCs/>
          <w:sz w:val="20"/>
          <w:szCs w:val="20"/>
        </w:rPr>
        <w:t>reconfigurationWithSync</w:t>
      </w:r>
      <w:r w:rsidR="00380B4D">
        <w:rPr>
          <w:sz w:val="20"/>
          <w:szCs w:val="20"/>
        </w:rPr>
        <w:t>.</w:t>
      </w:r>
      <w:r w:rsidR="003207FE">
        <w:rPr>
          <w:sz w:val="20"/>
          <w:szCs w:val="20"/>
        </w:rPr>
        <w:t xml:space="preserve"> If the example wording is adopted in the final TP, then Case 1 is not a valid scenario any more.</w:t>
      </w:r>
    </w:p>
    <w:p w14:paraId="455486F8" w14:textId="601AD364" w:rsidR="00380B4D" w:rsidRDefault="00380B4D" w:rsidP="00F2197C">
      <w:pPr>
        <w:tabs>
          <w:tab w:val="left" w:pos="1134"/>
        </w:tabs>
        <w:spacing w:before="60" w:line="240" w:lineRule="exact"/>
        <w:rPr>
          <w:sz w:val="20"/>
          <w:szCs w:val="20"/>
        </w:rPr>
      </w:pPr>
      <w:r>
        <w:rPr>
          <w:sz w:val="20"/>
          <w:szCs w:val="20"/>
        </w:rPr>
        <w:t xml:space="preserve">For Case 2, </w:t>
      </w:r>
      <w:r w:rsidR="003207FE">
        <w:rPr>
          <w:sz w:val="20"/>
          <w:szCs w:val="20"/>
        </w:rPr>
        <w:t>d</w:t>
      </w:r>
      <w:r>
        <w:rPr>
          <w:sz w:val="20"/>
          <w:szCs w:val="20"/>
        </w:rPr>
        <w:t>uring RAN2 discussion, most companies agreed that i</w:t>
      </w:r>
      <w:r w:rsidRPr="00380B4D">
        <w:rPr>
          <w:sz w:val="20"/>
          <w:szCs w:val="20"/>
        </w:rPr>
        <w:t xml:space="preserve">f the NTN-config in </w:t>
      </w:r>
      <w:r w:rsidRPr="003207FE">
        <w:rPr>
          <w:i/>
          <w:iCs/>
          <w:sz w:val="20"/>
          <w:szCs w:val="20"/>
        </w:rPr>
        <w:t>RRCReconfiguration</w:t>
      </w:r>
      <w:r w:rsidRPr="00380B4D">
        <w:rPr>
          <w:sz w:val="20"/>
          <w:szCs w:val="20"/>
        </w:rPr>
        <w:t xml:space="preserve"> is outdated, the NW can update the configuration.</w:t>
      </w:r>
      <w:r>
        <w:rPr>
          <w:sz w:val="20"/>
          <w:szCs w:val="20"/>
        </w:rPr>
        <w:t xml:space="preserve"> Besides, according to the Agreement 1(online), whether UE will re-acquire NTN-config from SIB 19 is up to UE implementation</w:t>
      </w:r>
      <w:r w:rsidR="003207FE">
        <w:rPr>
          <w:sz w:val="20"/>
          <w:szCs w:val="20"/>
        </w:rPr>
        <w:t>.</w:t>
      </w:r>
      <w:r>
        <w:rPr>
          <w:sz w:val="20"/>
          <w:szCs w:val="20"/>
        </w:rPr>
        <w:t xml:space="preserve"> </w:t>
      </w:r>
      <w:r w:rsidR="003207FE">
        <w:rPr>
          <w:sz w:val="20"/>
          <w:szCs w:val="20"/>
        </w:rPr>
        <w:t>T</w:t>
      </w:r>
      <w:r>
        <w:rPr>
          <w:sz w:val="20"/>
          <w:szCs w:val="20"/>
        </w:rPr>
        <w:t xml:space="preserve">herefore, we don’t think related additional delay </w:t>
      </w:r>
      <w:r w:rsidR="003207FE">
        <w:rPr>
          <w:sz w:val="20"/>
          <w:szCs w:val="20"/>
        </w:rPr>
        <w:t>from UE re-acquiring the SIB 19 need to</w:t>
      </w:r>
      <w:r>
        <w:rPr>
          <w:sz w:val="20"/>
          <w:szCs w:val="20"/>
        </w:rPr>
        <w:t xml:space="preserve"> be added.</w:t>
      </w:r>
    </w:p>
    <w:p w14:paraId="56EFC11B" w14:textId="161579BB" w:rsidR="00380B4D" w:rsidRDefault="00380B4D" w:rsidP="00F2197C">
      <w:pPr>
        <w:tabs>
          <w:tab w:val="left" w:pos="1134"/>
        </w:tabs>
        <w:spacing w:before="60" w:line="240" w:lineRule="exact"/>
        <w:rPr>
          <w:sz w:val="20"/>
          <w:szCs w:val="20"/>
        </w:rPr>
      </w:pPr>
      <w:r>
        <w:rPr>
          <w:rFonts w:hint="eastAsia"/>
          <w:sz w:val="20"/>
          <w:szCs w:val="20"/>
        </w:rPr>
        <w:t>T</w:t>
      </w:r>
      <w:r>
        <w:rPr>
          <w:sz w:val="20"/>
          <w:szCs w:val="20"/>
        </w:rPr>
        <w:t xml:space="preserve">o </w:t>
      </w:r>
      <w:r w:rsidR="00F72EC7">
        <w:rPr>
          <w:sz w:val="20"/>
          <w:szCs w:val="20"/>
        </w:rPr>
        <w:t xml:space="preserve">sum up, the two cases </w:t>
      </w:r>
      <w:r w:rsidR="003207FE">
        <w:rPr>
          <w:sz w:val="20"/>
          <w:szCs w:val="20"/>
        </w:rPr>
        <w:t>are</w:t>
      </w:r>
      <w:r w:rsidR="00F72EC7">
        <w:rPr>
          <w:sz w:val="20"/>
          <w:szCs w:val="20"/>
        </w:rPr>
        <w:t xml:space="preserve"> not valid any more considering the agreement</w:t>
      </w:r>
      <w:r w:rsidR="003207FE">
        <w:rPr>
          <w:sz w:val="20"/>
          <w:szCs w:val="20"/>
        </w:rPr>
        <w:t xml:space="preserve"> and related discussion</w:t>
      </w:r>
      <w:r w:rsidR="00F72EC7">
        <w:rPr>
          <w:sz w:val="20"/>
          <w:szCs w:val="20"/>
        </w:rPr>
        <w:t xml:space="preserve"> from RAN2. </w:t>
      </w:r>
      <w:r w:rsidR="00F72EC7" w:rsidRPr="00F72EC7">
        <w:rPr>
          <w:sz w:val="20"/>
          <w:szCs w:val="20"/>
        </w:rPr>
        <w:t>UE can</w:t>
      </w:r>
      <w:r w:rsidR="00F72EC7">
        <w:rPr>
          <w:sz w:val="20"/>
          <w:szCs w:val="20"/>
        </w:rPr>
        <w:t xml:space="preserve"> always</w:t>
      </w:r>
      <w:r w:rsidR="00F72EC7" w:rsidRPr="00F72EC7">
        <w:rPr>
          <w:sz w:val="20"/>
          <w:szCs w:val="20"/>
        </w:rPr>
        <w:t xml:space="preserve"> initiate a valid T430 before </w:t>
      </w:r>
      <w:r w:rsidR="003207FE">
        <w:rPr>
          <w:sz w:val="20"/>
          <w:szCs w:val="20"/>
        </w:rPr>
        <w:t xml:space="preserve">the </w:t>
      </w:r>
      <w:r w:rsidR="00F72EC7" w:rsidRPr="00F72EC7">
        <w:rPr>
          <w:sz w:val="20"/>
          <w:szCs w:val="20"/>
        </w:rPr>
        <w:t xml:space="preserve">end of </w:t>
      </w:r>
      <w:r w:rsidR="003207FE">
        <w:rPr>
          <w:sz w:val="20"/>
          <w:szCs w:val="20"/>
        </w:rPr>
        <w:t>i</w:t>
      </w:r>
      <w:r w:rsidR="00F72EC7" w:rsidRPr="00F72EC7">
        <w:rPr>
          <w:sz w:val="20"/>
          <w:szCs w:val="20"/>
        </w:rPr>
        <w:t>nterruption time</w:t>
      </w:r>
      <w:r w:rsidR="00F72EC7">
        <w:rPr>
          <w:sz w:val="20"/>
          <w:szCs w:val="20"/>
        </w:rPr>
        <w:t>. Since RAN2 haven’t achieve</w:t>
      </w:r>
      <w:r w:rsidR="003207FE">
        <w:rPr>
          <w:sz w:val="20"/>
          <w:szCs w:val="20"/>
        </w:rPr>
        <w:t>d</w:t>
      </w:r>
      <w:r w:rsidR="00F72EC7">
        <w:rPr>
          <w:sz w:val="20"/>
          <w:szCs w:val="20"/>
        </w:rPr>
        <w:t xml:space="preserve"> the exact wording of </w:t>
      </w:r>
      <w:r w:rsidR="003207FE">
        <w:rPr>
          <w:sz w:val="20"/>
          <w:szCs w:val="20"/>
        </w:rPr>
        <w:t>TP</w:t>
      </w:r>
      <w:r w:rsidR="00F72EC7">
        <w:rPr>
          <w:sz w:val="20"/>
          <w:szCs w:val="20"/>
        </w:rPr>
        <w:t xml:space="preserve">, </w:t>
      </w:r>
      <w:r w:rsidR="007855D9">
        <w:rPr>
          <w:sz w:val="20"/>
          <w:szCs w:val="20"/>
        </w:rPr>
        <w:t xml:space="preserve">we can </w:t>
      </w:r>
      <w:r w:rsidR="003207FE">
        <w:rPr>
          <w:sz w:val="20"/>
          <w:szCs w:val="20"/>
        </w:rPr>
        <w:t xml:space="preserve">just </w:t>
      </w:r>
      <w:r w:rsidR="007855D9">
        <w:rPr>
          <w:sz w:val="20"/>
          <w:szCs w:val="20"/>
        </w:rPr>
        <w:t>achieve a tentative agreement in this meeting, and wait for the further progress in RAN2.</w:t>
      </w:r>
    </w:p>
    <w:p w14:paraId="5698F7DF" w14:textId="2F40E135" w:rsidR="007855D9" w:rsidRDefault="007855D9" w:rsidP="007855D9">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No need to consider </w:t>
      </w:r>
      <w:r w:rsidRPr="007855D9">
        <w:rPr>
          <w:rFonts w:eastAsia="等线"/>
          <w:b/>
          <w:bCs/>
          <w:i/>
          <w:iCs/>
          <w:sz w:val="20"/>
          <w:szCs w:val="20"/>
        </w:rPr>
        <w:t xml:space="preserve">the additional delay introduced in the </w:t>
      </w:r>
      <w:r>
        <w:rPr>
          <w:rFonts w:eastAsia="等线"/>
          <w:b/>
          <w:bCs/>
          <w:i/>
          <w:iCs/>
          <w:sz w:val="20"/>
          <w:szCs w:val="20"/>
        </w:rPr>
        <w:t>HO/</w:t>
      </w:r>
      <w:r w:rsidRPr="007855D9">
        <w:rPr>
          <w:rFonts w:eastAsia="等线"/>
          <w:b/>
          <w:bCs/>
          <w:i/>
          <w:iCs/>
          <w:sz w:val="20"/>
          <w:szCs w:val="20"/>
        </w:rPr>
        <w:t>CHO procedure for NTN caused by the cases where the UE has to wait for the epoch time to be reached or re-acquire a new ephemeris information</w:t>
      </w:r>
      <w:r>
        <w:rPr>
          <w:rFonts w:eastAsia="等线"/>
          <w:b/>
          <w:bCs/>
          <w:i/>
          <w:iCs/>
          <w:sz w:val="20"/>
          <w:szCs w:val="20"/>
        </w:rPr>
        <w:t>.</w:t>
      </w:r>
    </w:p>
    <w:p w14:paraId="6D247AC4" w14:textId="09255EF0" w:rsidR="007855D9" w:rsidRDefault="007855D9" w:rsidP="007855D9">
      <w:pPr>
        <w:tabs>
          <w:tab w:val="left" w:pos="1134"/>
        </w:tabs>
        <w:spacing w:before="60"/>
        <w:jc w:val="both"/>
        <w:rPr>
          <w:rFonts w:eastAsia="等线"/>
          <w:b/>
          <w:bCs/>
          <w:i/>
          <w:iCs/>
          <w:sz w:val="20"/>
          <w:szCs w:val="20"/>
        </w:rPr>
      </w:pPr>
      <w:r>
        <w:rPr>
          <w:rFonts w:eastAsia="等线"/>
          <w:b/>
          <w:bCs/>
          <w:i/>
          <w:iCs/>
          <w:sz w:val="20"/>
          <w:szCs w:val="20"/>
        </w:rPr>
        <w:t xml:space="preserve">Proposal 2: The work </w:t>
      </w:r>
      <w:r w:rsidR="003207FE">
        <w:rPr>
          <w:rFonts w:eastAsia="等线"/>
          <w:b/>
          <w:bCs/>
          <w:i/>
          <w:iCs/>
          <w:sz w:val="20"/>
          <w:szCs w:val="20"/>
        </w:rPr>
        <w:t xml:space="preserve">hasn’t </w:t>
      </w:r>
      <w:r w:rsidR="00102265">
        <w:rPr>
          <w:rFonts w:eastAsia="等线"/>
          <w:b/>
          <w:bCs/>
          <w:i/>
          <w:iCs/>
          <w:sz w:val="20"/>
          <w:szCs w:val="20"/>
        </w:rPr>
        <w:t xml:space="preserve">been </w:t>
      </w:r>
      <w:r>
        <w:rPr>
          <w:rFonts w:eastAsia="等线"/>
          <w:b/>
          <w:bCs/>
          <w:i/>
          <w:iCs/>
          <w:sz w:val="20"/>
          <w:szCs w:val="20"/>
        </w:rPr>
        <w:t>finished in RAN2</w:t>
      </w:r>
      <w:r w:rsidR="003207FE">
        <w:rPr>
          <w:rFonts w:eastAsia="等线"/>
          <w:b/>
          <w:bCs/>
          <w:i/>
          <w:iCs/>
          <w:sz w:val="20"/>
          <w:szCs w:val="20"/>
        </w:rPr>
        <w:t xml:space="preserve"> yet</w:t>
      </w:r>
      <w:r>
        <w:rPr>
          <w:rFonts w:eastAsia="等线"/>
          <w:b/>
          <w:bCs/>
          <w:i/>
          <w:iCs/>
          <w:sz w:val="20"/>
          <w:szCs w:val="20"/>
        </w:rPr>
        <w:t>, further progress should be take</w:t>
      </w:r>
      <w:r w:rsidR="00102265">
        <w:rPr>
          <w:rFonts w:eastAsia="等线"/>
          <w:b/>
          <w:bCs/>
          <w:i/>
          <w:iCs/>
          <w:sz w:val="20"/>
          <w:szCs w:val="20"/>
        </w:rPr>
        <w:t>n</w:t>
      </w:r>
      <w:r>
        <w:rPr>
          <w:rFonts w:eastAsia="等线"/>
          <w:b/>
          <w:bCs/>
          <w:i/>
          <w:iCs/>
          <w:sz w:val="20"/>
          <w:szCs w:val="20"/>
        </w:rPr>
        <w:t xml:space="preserve"> into consideration if there </w:t>
      </w:r>
      <w:r w:rsidR="00102265">
        <w:rPr>
          <w:rFonts w:eastAsia="等线"/>
          <w:b/>
          <w:bCs/>
          <w:i/>
          <w:iCs/>
          <w:sz w:val="20"/>
          <w:szCs w:val="20"/>
        </w:rPr>
        <w:t>is</w:t>
      </w:r>
      <w:r>
        <w:rPr>
          <w:rFonts w:eastAsia="等线"/>
          <w:b/>
          <w:bCs/>
          <w:i/>
          <w:iCs/>
          <w:sz w:val="20"/>
          <w:szCs w:val="20"/>
        </w:rPr>
        <w:t xml:space="preserve"> RAN4 spec impaction.</w:t>
      </w:r>
    </w:p>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30AD3117" w14:textId="77777777" w:rsidR="00102265" w:rsidRDefault="00102265" w:rsidP="0010226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No need to consider </w:t>
      </w:r>
      <w:r w:rsidRPr="007855D9">
        <w:rPr>
          <w:rFonts w:eastAsia="等线"/>
          <w:b/>
          <w:bCs/>
          <w:i/>
          <w:iCs/>
          <w:sz w:val="20"/>
          <w:szCs w:val="20"/>
        </w:rPr>
        <w:t xml:space="preserve">the additional delay introduced in the </w:t>
      </w:r>
      <w:r>
        <w:rPr>
          <w:rFonts w:eastAsia="等线"/>
          <w:b/>
          <w:bCs/>
          <w:i/>
          <w:iCs/>
          <w:sz w:val="20"/>
          <w:szCs w:val="20"/>
        </w:rPr>
        <w:t>HO/</w:t>
      </w:r>
      <w:r w:rsidRPr="007855D9">
        <w:rPr>
          <w:rFonts w:eastAsia="等线"/>
          <w:b/>
          <w:bCs/>
          <w:i/>
          <w:iCs/>
          <w:sz w:val="20"/>
          <w:szCs w:val="20"/>
        </w:rPr>
        <w:t>CHO procedure for NTN caused by the cases where the UE has to wait for the epoch time to be reached or re-acquire a new ephemeris information</w:t>
      </w:r>
      <w:r>
        <w:rPr>
          <w:rFonts w:eastAsia="等线"/>
          <w:b/>
          <w:bCs/>
          <w:i/>
          <w:iCs/>
          <w:sz w:val="20"/>
          <w:szCs w:val="20"/>
        </w:rPr>
        <w:t>.</w:t>
      </w:r>
    </w:p>
    <w:p w14:paraId="7F4112D2" w14:textId="77777777" w:rsidR="00102265" w:rsidRDefault="00102265" w:rsidP="00102265">
      <w:pPr>
        <w:tabs>
          <w:tab w:val="left" w:pos="1134"/>
        </w:tabs>
        <w:spacing w:before="60"/>
        <w:jc w:val="both"/>
        <w:rPr>
          <w:rFonts w:eastAsia="等线"/>
          <w:b/>
          <w:bCs/>
          <w:i/>
          <w:iCs/>
          <w:sz w:val="20"/>
          <w:szCs w:val="20"/>
        </w:rPr>
      </w:pPr>
      <w:r>
        <w:rPr>
          <w:rFonts w:eastAsia="等线"/>
          <w:b/>
          <w:bCs/>
          <w:i/>
          <w:iCs/>
          <w:sz w:val="20"/>
          <w:szCs w:val="20"/>
        </w:rPr>
        <w:t>Proposal 2: The work hasn’t been finished in RAN2 yet, further progress should be taken into consideration if there is RAN4 spec impaction.</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240AFF3C" w14:textId="31160C3C" w:rsidR="00EC721B" w:rsidRDefault="00EC721B">
      <w:pPr>
        <w:rPr>
          <w:sz w:val="20"/>
          <w:szCs w:val="20"/>
          <w:lang w:val="en-GB"/>
        </w:rPr>
      </w:pPr>
      <w:r>
        <w:rPr>
          <w:rFonts w:hint="eastAsia"/>
          <w:sz w:val="20"/>
          <w:szCs w:val="20"/>
          <w:lang w:val="en-GB"/>
        </w:rPr>
        <w:t>[</w:t>
      </w:r>
      <w:r>
        <w:rPr>
          <w:sz w:val="20"/>
          <w:szCs w:val="20"/>
          <w:lang w:val="en-GB"/>
        </w:rPr>
        <w:t xml:space="preserve">1] </w:t>
      </w:r>
      <w:r w:rsidRPr="00EC721B">
        <w:rPr>
          <w:sz w:val="20"/>
          <w:szCs w:val="20"/>
          <w:lang w:val="en-GB"/>
        </w:rPr>
        <w:t>R4-2217174</w:t>
      </w:r>
      <w:r>
        <w:rPr>
          <w:sz w:val="20"/>
          <w:szCs w:val="20"/>
          <w:lang w:val="en-GB"/>
        </w:rPr>
        <w:t xml:space="preserve">, </w:t>
      </w:r>
      <w:r w:rsidRPr="00EC721B">
        <w:rPr>
          <w:sz w:val="20"/>
          <w:szCs w:val="20"/>
          <w:lang w:val="en-GB"/>
        </w:rPr>
        <w:t>WF on NR NTN RRM requirements</w:t>
      </w:r>
      <w:r>
        <w:rPr>
          <w:sz w:val="20"/>
          <w:szCs w:val="20"/>
          <w:lang w:val="en-GB"/>
        </w:rPr>
        <w:t xml:space="preserve">, </w:t>
      </w:r>
      <w:r w:rsidRPr="00EC721B">
        <w:rPr>
          <w:sz w:val="20"/>
          <w:szCs w:val="20"/>
          <w:lang w:val="en-GB"/>
        </w:rPr>
        <w:t>Qualcomm Incorporated</w:t>
      </w:r>
      <w:r w:rsidR="00F47107">
        <w:rPr>
          <w:sz w:val="20"/>
          <w:szCs w:val="20"/>
          <w:lang w:val="en-GB"/>
        </w:rPr>
        <w:t>.</w:t>
      </w:r>
    </w:p>
    <w:p w14:paraId="02F09FB4" w14:textId="3638C81A" w:rsidR="00EC721B" w:rsidRDefault="00EC721B">
      <w:pPr>
        <w:rPr>
          <w:sz w:val="20"/>
          <w:szCs w:val="20"/>
          <w:lang w:val="en-GB"/>
        </w:rPr>
      </w:pPr>
      <w:r>
        <w:rPr>
          <w:rFonts w:hint="eastAsia"/>
          <w:sz w:val="20"/>
          <w:szCs w:val="20"/>
          <w:lang w:val="en-GB"/>
        </w:rPr>
        <w:t>[</w:t>
      </w:r>
      <w:r>
        <w:rPr>
          <w:sz w:val="20"/>
          <w:szCs w:val="20"/>
          <w:lang w:val="en-GB"/>
        </w:rPr>
        <w:t>2]</w:t>
      </w:r>
      <w:r w:rsidRPr="00EC721B">
        <w:t xml:space="preserve"> </w:t>
      </w:r>
      <w:r w:rsidRPr="00EC721B">
        <w:rPr>
          <w:sz w:val="20"/>
          <w:szCs w:val="20"/>
          <w:lang w:val="en-GB"/>
        </w:rPr>
        <w:t>R2-2210855</w:t>
      </w:r>
      <w:r>
        <w:rPr>
          <w:sz w:val="20"/>
          <w:szCs w:val="20"/>
          <w:lang w:val="en-GB"/>
        </w:rPr>
        <w:t xml:space="preserve">, </w:t>
      </w:r>
      <w:r w:rsidRPr="00EC721B">
        <w:rPr>
          <w:sz w:val="20"/>
          <w:szCs w:val="20"/>
          <w:lang w:val="en-GB"/>
        </w:rPr>
        <w:t>Summary of [AT119bis-e][113][NR-NTN] epoch time and validity timer</w:t>
      </w:r>
      <w:r>
        <w:rPr>
          <w:sz w:val="20"/>
          <w:szCs w:val="20"/>
          <w:lang w:val="en-GB"/>
        </w:rPr>
        <w:t xml:space="preserve">, </w:t>
      </w:r>
      <w:r w:rsidRPr="00EC721B">
        <w:rPr>
          <w:sz w:val="20"/>
          <w:szCs w:val="20"/>
          <w:lang w:val="en-GB"/>
        </w:rPr>
        <w:t>Samsung</w:t>
      </w:r>
    </w:p>
    <w:p w14:paraId="6EDD26F0" w14:textId="13D71DB7" w:rsidR="00EC721B" w:rsidRDefault="00EC721B">
      <w:pPr>
        <w:rPr>
          <w:sz w:val="20"/>
          <w:szCs w:val="20"/>
          <w:lang w:val="en-GB"/>
        </w:rPr>
      </w:pPr>
      <w:r>
        <w:rPr>
          <w:rFonts w:hint="eastAsia"/>
          <w:sz w:val="20"/>
          <w:szCs w:val="20"/>
          <w:lang w:val="en-GB"/>
        </w:rPr>
        <w:t>[</w:t>
      </w:r>
      <w:r>
        <w:rPr>
          <w:sz w:val="20"/>
          <w:szCs w:val="20"/>
          <w:lang w:val="en-GB"/>
        </w:rPr>
        <w:t>3]</w:t>
      </w:r>
      <w:r w:rsidRPr="00EC721B">
        <w:t xml:space="preserve"> </w:t>
      </w:r>
      <w:r w:rsidRPr="00EC721B">
        <w:rPr>
          <w:sz w:val="20"/>
          <w:szCs w:val="20"/>
          <w:lang w:val="en-GB"/>
        </w:rPr>
        <w:t>R2-2210801</w:t>
      </w:r>
      <w:r>
        <w:rPr>
          <w:sz w:val="20"/>
          <w:szCs w:val="20"/>
          <w:lang w:val="en-GB"/>
        </w:rPr>
        <w:t xml:space="preserve">, </w:t>
      </w:r>
      <w:r w:rsidRPr="00EC721B">
        <w:rPr>
          <w:sz w:val="20"/>
          <w:szCs w:val="20"/>
          <w:lang w:val="en-GB"/>
        </w:rPr>
        <w:t>Report from Break-out session on NR-NTN and IoT-NTN</w:t>
      </w:r>
      <w:r>
        <w:rPr>
          <w:sz w:val="20"/>
          <w:szCs w:val="20"/>
          <w:lang w:val="en-GB"/>
        </w:rPr>
        <w:t xml:space="preserve">, 3GPP RAN2 </w:t>
      </w:r>
      <w:r w:rsidRPr="00EC721B">
        <w:rPr>
          <w:sz w:val="20"/>
          <w:szCs w:val="20"/>
          <w:lang w:val="en-GB"/>
        </w:rPr>
        <w:t>Vice Chairman (ZTE Corporation)</w:t>
      </w:r>
    </w:p>
    <w:p w14:paraId="772AD4A1" w14:textId="626A21B2" w:rsidR="002513F6" w:rsidRPr="00452485" w:rsidRDefault="002513F6">
      <w:pPr>
        <w:rPr>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2C00" w14:textId="77777777" w:rsidR="00D072E8" w:rsidRDefault="00D072E8" w:rsidP="007854C6">
      <w:r>
        <w:separator/>
      </w:r>
    </w:p>
  </w:endnote>
  <w:endnote w:type="continuationSeparator" w:id="0">
    <w:p w14:paraId="7549976F" w14:textId="77777777" w:rsidR="00D072E8" w:rsidRDefault="00D072E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68D18" w14:textId="77777777" w:rsidR="00D072E8" w:rsidRDefault="00D072E8" w:rsidP="007854C6">
      <w:r>
        <w:separator/>
      </w:r>
    </w:p>
  </w:footnote>
  <w:footnote w:type="continuationSeparator" w:id="0">
    <w:p w14:paraId="09E0BD13" w14:textId="77777777" w:rsidR="00D072E8" w:rsidRDefault="00D072E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8F914A0"/>
    <w:multiLevelType w:val="hybridMultilevel"/>
    <w:tmpl w:val="E53A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627315"/>
    <w:multiLevelType w:val="hybridMultilevel"/>
    <w:tmpl w:val="38709CCE"/>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7"/>
  </w:num>
  <w:num w:numId="2" w16cid:durableId="1872185180">
    <w:abstractNumId w:val="8"/>
  </w:num>
  <w:num w:numId="3" w16cid:durableId="1337423769">
    <w:abstractNumId w:val="26"/>
  </w:num>
  <w:num w:numId="4" w16cid:durableId="540900337">
    <w:abstractNumId w:val="5"/>
  </w:num>
  <w:num w:numId="5" w16cid:durableId="366564362">
    <w:abstractNumId w:val="1"/>
  </w:num>
  <w:num w:numId="6" w16cid:durableId="1819103025">
    <w:abstractNumId w:val="23"/>
  </w:num>
  <w:num w:numId="7" w16cid:durableId="545676249">
    <w:abstractNumId w:val="4"/>
  </w:num>
  <w:num w:numId="8" w16cid:durableId="299842338">
    <w:abstractNumId w:val="9"/>
  </w:num>
  <w:num w:numId="9" w16cid:durableId="1004282034">
    <w:abstractNumId w:val="15"/>
  </w:num>
  <w:num w:numId="10" w16cid:durableId="322467064">
    <w:abstractNumId w:val="21"/>
  </w:num>
  <w:num w:numId="11" w16cid:durableId="1869565793">
    <w:abstractNumId w:val="25"/>
  </w:num>
  <w:num w:numId="12" w16cid:durableId="1852134952">
    <w:abstractNumId w:val="6"/>
  </w:num>
  <w:num w:numId="13" w16cid:durableId="1878083882">
    <w:abstractNumId w:val="29"/>
  </w:num>
  <w:num w:numId="14" w16cid:durableId="43993273">
    <w:abstractNumId w:val="6"/>
  </w:num>
  <w:num w:numId="15" w16cid:durableId="1633367473">
    <w:abstractNumId w:val="18"/>
  </w:num>
  <w:num w:numId="16" w16cid:durableId="1268462805">
    <w:abstractNumId w:val="24"/>
  </w:num>
  <w:num w:numId="17" w16cid:durableId="1599175766">
    <w:abstractNumId w:val="28"/>
  </w:num>
  <w:num w:numId="18" w16cid:durableId="678044669">
    <w:abstractNumId w:val="0"/>
  </w:num>
  <w:num w:numId="19" w16cid:durableId="471872988">
    <w:abstractNumId w:val="3"/>
  </w:num>
  <w:num w:numId="20" w16cid:durableId="852033810">
    <w:abstractNumId w:val="12"/>
  </w:num>
  <w:num w:numId="21" w16cid:durableId="289362898">
    <w:abstractNumId w:val="30"/>
  </w:num>
  <w:num w:numId="22" w16cid:durableId="1075930875">
    <w:abstractNumId w:val="17"/>
  </w:num>
  <w:num w:numId="23" w16cid:durableId="6833661">
    <w:abstractNumId w:val="14"/>
  </w:num>
  <w:num w:numId="24" w16cid:durableId="1849522452">
    <w:abstractNumId w:val="11"/>
  </w:num>
  <w:num w:numId="25" w16cid:durableId="50345578">
    <w:abstractNumId w:val="22"/>
  </w:num>
  <w:num w:numId="26" w16cid:durableId="2039237746">
    <w:abstractNumId w:val="27"/>
  </w:num>
  <w:num w:numId="27" w16cid:durableId="837692274">
    <w:abstractNumId w:val="27"/>
  </w:num>
  <w:num w:numId="28" w16cid:durableId="835191808">
    <w:abstractNumId w:val="27"/>
  </w:num>
  <w:num w:numId="29" w16cid:durableId="171653929">
    <w:abstractNumId w:val="27"/>
  </w:num>
  <w:num w:numId="30" w16cid:durableId="127405075">
    <w:abstractNumId w:val="27"/>
  </w:num>
  <w:num w:numId="31" w16cid:durableId="1295987286">
    <w:abstractNumId w:val="27"/>
  </w:num>
  <w:num w:numId="32" w16cid:durableId="34475318">
    <w:abstractNumId w:val="27"/>
  </w:num>
  <w:num w:numId="33" w16cid:durableId="1200584906">
    <w:abstractNumId w:val="27"/>
  </w:num>
  <w:num w:numId="34" w16cid:durableId="170335396">
    <w:abstractNumId w:val="27"/>
  </w:num>
  <w:num w:numId="35" w16cid:durableId="1932540433">
    <w:abstractNumId w:val="27"/>
  </w:num>
  <w:num w:numId="36" w16cid:durableId="886331285">
    <w:abstractNumId w:val="13"/>
  </w:num>
  <w:num w:numId="37" w16cid:durableId="462357247">
    <w:abstractNumId w:val="7"/>
  </w:num>
  <w:num w:numId="38" w16cid:durableId="2020617575">
    <w:abstractNumId w:val="2"/>
  </w:num>
  <w:num w:numId="39" w16cid:durableId="1204753454">
    <w:abstractNumId w:val="19"/>
  </w:num>
  <w:num w:numId="40" w16cid:durableId="1773937576">
    <w:abstractNumId w:val="16"/>
  </w:num>
  <w:num w:numId="41" w16cid:durableId="241523842">
    <w:abstractNumId w:val="10"/>
  </w:num>
  <w:num w:numId="42" w16cid:durableId="110233671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26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6002</TotalTime>
  <Pages>2</Pages>
  <Words>819</Words>
  <Characters>4669</Characters>
  <Application>Microsoft Office Word</Application>
  <DocSecurity>0</DocSecurity>
  <Lines>38</Lines>
  <Paragraphs>10</Paragraphs>
  <ScaleCrop>false</ScaleCrop>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22</cp:revision>
  <dcterms:created xsi:type="dcterms:W3CDTF">2022-08-08T10:51:00Z</dcterms:created>
  <dcterms:modified xsi:type="dcterms:W3CDTF">2022-11-07T09:15:00Z</dcterms:modified>
</cp:coreProperties>
</file>